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01" w:rsidRDefault="00203586">
      <w:pPr>
        <w:pStyle w:val="Standard"/>
        <w:wordWrap w:val="0"/>
        <w:spacing w:line="400" w:lineRule="exact"/>
        <w:rPr>
          <w:rFonts w:ascii="標楷體" w:eastAsia="標楷體" w:hAnsi="標楷體" w:cs="標楷體"/>
          <w:spacing w:val="-4"/>
        </w:rPr>
      </w:pPr>
      <w:bookmarkStart w:id="0" w:name="_GoBack"/>
      <w:bookmarkEnd w:id="0"/>
      <w:r>
        <w:rPr>
          <w:rFonts w:ascii="標楷體" w:eastAsia="標楷體" w:hAnsi="標楷體" w:cs="標楷體"/>
          <w:spacing w:val="-4"/>
        </w:rPr>
        <w:t>附件</w:t>
      </w:r>
    </w:p>
    <w:tbl>
      <w:tblPr>
        <w:tblW w:w="9370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2280"/>
        <w:gridCol w:w="4080"/>
        <w:gridCol w:w="1542"/>
      </w:tblGrid>
      <w:tr w:rsidR="00CA260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bCs/>
                <w:szCs w:val="28"/>
              </w:rPr>
              <w:t>推動</w:t>
            </w:r>
            <w:r>
              <w:rPr>
                <w:rFonts w:ascii="標楷體" w:eastAsia="標楷體" w:hAnsi="標楷體" w:cs="標楷體"/>
                <w:szCs w:val="28"/>
              </w:rPr>
              <w:t>社區治安補助經費項目及基準表</w:t>
            </w:r>
          </w:p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00" w:lineRule="exact"/>
              <w:jc w:val="center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項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目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00" w:lineRule="exact"/>
              <w:jc w:val="center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基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 xml:space="preserve">             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準</w:t>
            </w:r>
            <w:proofErr w:type="gram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00" w:lineRule="exact"/>
              <w:jc w:val="center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備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考</w:t>
            </w:r>
          </w:p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0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一、事務費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1.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水電補助費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以勤務據點為限，最高一萬元。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203586">
            <w:pPr>
              <w:pStyle w:val="Standard"/>
              <w:wordWrap w:val="0"/>
              <w:spacing w:line="260" w:lineRule="exact"/>
              <w:ind w:left="216" w:hanging="216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1.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補助費應本合理使用及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撙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節支出原則使用。</w:t>
            </w:r>
          </w:p>
          <w:p w:rsidR="00CA2601" w:rsidRDefault="00203586">
            <w:pPr>
              <w:pStyle w:val="Standard"/>
              <w:wordWrap w:val="0"/>
              <w:spacing w:line="260" w:lineRule="exact"/>
              <w:ind w:left="216" w:hanging="216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2.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裝備費之補助係以經常門編列，不得購置單價一萬元以上之勤務裝備。</w:t>
            </w:r>
          </w:p>
          <w:p w:rsidR="00CA2601" w:rsidRDefault="00203586">
            <w:pPr>
              <w:pStyle w:val="Standard"/>
              <w:wordWrap w:val="0"/>
              <w:spacing w:line="260" w:lineRule="exact"/>
              <w:ind w:left="216" w:hanging="216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3.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個人所得，應由直轄市、縣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(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市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)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政府警察局依所得稅法辦理所得歸戶，並依全民健康保險扣取及繳納補充保險費辦法扣繳補充保險費。</w:t>
            </w:r>
          </w:p>
          <w:p w:rsidR="00CA2601" w:rsidRDefault="00203586">
            <w:pPr>
              <w:pStyle w:val="Standard"/>
              <w:wordWrap w:val="0"/>
              <w:spacing w:line="260" w:lineRule="exact"/>
              <w:ind w:left="216" w:hanging="216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4.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單位：新臺幣元。</w:t>
            </w:r>
          </w:p>
          <w:p w:rsidR="00CA2601" w:rsidRDefault="00CA2601">
            <w:pPr>
              <w:pStyle w:val="Standard"/>
              <w:wordWrap w:val="0"/>
              <w:spacing w:line="240" w:lineRule="exact"/>
              <w:ind w:left="294" w:hanging="294"/>
              <w:jc w:val="both"/>
              <w:rPr>
                <w:rFonts w:ascii="標楷體" w:eastAsia="標楷體" w:hAnsi="標楷體" w:cs="標楷體"/>
                <w:spacing w:val="-4"/>
                <w:sz w:val="20"/>
                <w:szCs w:val="20"/>
              </w:rPr>
            </w:pPr>
          </w:p>
        </w:tc>
      </w:tr>
      <w:tr w:rsidR="00CA2601">
        <w:tblPrEx>
          <w:tblCellMar>
            <w:top w:w="0" w:type="dxa"/>
            <w:bottom w:w="0" w:type="dxa"/>
          </w:tblCellMar>
        </w:tblPrEx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2.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油料補助費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汽車以塗有守望相助隊名稱，且其車身顏色、徽章不與警用巡邏車相同或相似，最高補助一千公升並以一輛為限。機車以守望相助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隊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隊員所有者為限，每輛最高補助五十公升，最多二十輛。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3.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夜點費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勤務執行至二十三時或二十三時至六時前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服勤者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檢據附名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冊，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每人支夜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點費四十元。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0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二、裝備費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電子看板、廣播設備、巡邏簽到箱、滅火器材、照明設備、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立式警示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燈、交通三角錐、安全防護頭盔、雨具、反光背心、警棍、交管指揮棒、警笛、自行車、服裝、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密錄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器、鋤頭、鐮刀、割草機、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抽水機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及鏈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鋸</w:t>
            </w:r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等。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1.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補助額度內核實報支。</w:t>
            </w:r>
          </w:p>
          <w:p w:rsidR="00CA2601" w:rsidRDefault="00203586">
            <w:pPr>
              <w:pStyle w:val="Standard"/>
              <w:wordWrap w:val="0"/>
              <w:spacing w:line="240" w:lineRule="exact"/>
              <w:ind w:left="196" w:hanging="196"/>
              <w:jc w:val="both"/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2.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服裝以守望相助隊執勤使用，</w:t>
            </w:r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且包括徽章及臂章，均不得與警察雷同或類似。</w:t>
            </w:r>
          </w:p>
          <w:p w:rsidR="00CA2601" w:rsidRDefault="00203586">
            <w:pPr>
              <w:pStyle w:val="Standard"/>
              <w:wordWrap w:val="0"/>
              <w:spacing w:line="240" w:lineRule="exact"/>
              <w:ind w:left="196" w:hanging="196"/>
              <w:jc w:val="both"/>
              <w:rPr>
                <w:rFonts w:ascii="標楷體" w:eastAsia="標楷體" w:hAnsi="標楷體" w:cs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勤務裝備應依實際勤務需要購置；另非個人專屬、可移交他人使用之共同裝備，應視勤務需求，審慎考量購置數量，並列入清冊由專人保管，不得轉發私人持用。</w:t>
            </w:r>
          </w:p>
          <w:p w:rsidR="00CA2601" w:rsidRDefault="00203586">
            <w:pPr>
              <w:pStyle w:val="Standard"/>
              <w:wordWrap w:val="0"/>
              <w:spacing w:line="240" w:lineRule="exact"/>
              <w:ind w:left="196" w:hanging="196"/>
              <w:jc w:val="both"/>
              <w:rPr>
                <w:rFonts w:ascii="標楷體" w:eastAsia="標楷體" w:hAnsi="標楷體" w:cs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依警械許可定製售賣持有管理辦法購置警棍者，請檢附警察局許可證明文件。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00" w:lineRule="exact"/>
              <w:ind w:left="392" w:hanging="392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三、會議及宣導費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1.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講師鐘點費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內聘講座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每人次最高每小時八百元，外聘（國內專家學者）講座每人次最高每小時二千元，視授課性質及課程繁簡酌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予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支給，未滿五十分鐘不予計算；專題演講費每人次最高每小時二千元。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2.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專家出席費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每人次最高二千五百元，視會議諮詢性質及業務繁簡程序支給。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3.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表演演出費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每人次最高補助五百元。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4.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撰稿費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每千字最高六百八十元。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5.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場地費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按租用單位收費標準支付（清潔費可核實報支）。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6.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布置費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每次最高補助二千元（由政府部門辦理之社區治安研習觀摩活動，不在此限）。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7.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器材租用費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核實報支。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ind w:left="216" w:hanging="216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8.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文具印刷費及交通費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交通費核實報支（不得報支計程車資），電腦資訊耗材（墨水匣、墨水瓶等）及光碟片可核實報支；列印設備之碳粉匣以一支為原則。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ind w:left="332" w:hanging="332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9.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誤餐費及茶水費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會議或活動進行須逾用餐時間始得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報支誤餐費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；</w:t>
            </w:r>
            <w:proofErr w:type="gramStart"/>
            <w:r>
              <w:rPr>
                <w:rFonts w:ascii="標楷體" w:eastAsia="標楷體" w:hAnsi="標楷體" w:cs="標楷體"/>
                <w:spacing w:val="-4"/>
                <w:sz w:val="20"/>
              </w:rPr>
              <w:t>所需誤餐費</w:t>
            </w:r>
            <w:proofErr w:type="gramEnd"/>
            <w:r>
              <w:rPr>
                <w:rFonts w:ascii="標楷體" w:eastAsia="標楷體" w:hAnsi="標楷體" w:cs="標楷體"/>
                <w:spacing w:val="-4"/>
                <w:sz w:val="20"/>
              </w:rPr>
              <w:t>，以每人八十元為限。飲料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茶水費另計，可核實報支。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10.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文宣品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單價不得逾二百元，每次會議以二萬元為限。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  <w:tr w:rsidR="00CA260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CA260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wordWrap w:val="0"/>
              <w:spacing w:line="240" w:lineRule="exact"/>
              <w:ind w:left="332" w:hanging="332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11.</w:t>
            </w:r>
            <w:r>
              <w:rPr>
                <w:rFonts w:ascii="標楷體" w:eastAsia="標楷體" w:hAnsi="標楷體" w:cs="標楷體"/>
                <w:spacing w:val="-4"/>
                <w:sz w:val="20"/>
              </w:rPr>
              <w:t>其他行政雜支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601" w:rsidRDefault="00203586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  <w:sz w:val="20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每次會議相關雜支，以六千元為限。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601" w:rsidRDefault="00CA2601"/>
        </w:tc>
      </w:tr>
    </w:tbl>
    <w:p w:rsidR="00CA2601" w:rsidRDefault="00CA2601">
      <w:pPr>
        <w:pStyle w:val="Standard"/>
        <w:snapToGrid w:val="0"/>
        <w:ind w:right="-425"/>
        <w:rPr>
          <w:rFonts w:ascii="標楷體" w:eastAsia="標楷體" w:hAnsi="標楷體" w:cs="標楷體"/>
          <w:sz w:val="28"/>
        </w:rPr>
      </w:pPr>
    </w:p>
    <w:p w:rsidR="00CA2601" w:rsidRDefault="00CA2601">
      <w:pPr>
        <w:pStyle w:val="Standard"/>
        <w:rPr>
          <w:rFonts w:ascii="標楷體" w:eastAsia="標楷體" w:hAnsi="標楷體" w:cs="標楷體"/>
          <w:sz w:val="28"/>
        </w:rPr>
      </w:pPr>
    </w:p>
    <w:sectPr w:rsidR="00CA2601">
      <w:footerReference w:type="default" r:id="rId7"/>
      <w:pgSz w:w="11906" w:h="16838"/>
      <w:pgMar w:top="1418" w:right="1418" w:bottom="1418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586" w:rsidRDefault="00203586">
      <w:r>
        <w:separator/>
      </w:r>
    </w:p>
  </w:endnote>
  <w:endnote w:type="continuationSeparator" w:id="0">
    <w:p w:rsidR="00203586" w:rsidRDefault="0020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E7" w:rsidRDefault="00203586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2031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A38E7" w:rsidRDefault="00203586">
                          <w:pPr>
                            <w:pStyle w:val="a5"/>
                            <w:jc w:val="center"/>
                          </w:pPr>
                          <w:r>
                            <w:rPr>
                              <w:rStyle w:val="a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Style w:val="a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" stroked="f">
              <v:fill opacity="0"/>
              <v:textbox style="mso-fit-shape-to-text:t" inset="0,0,0,0">
                <w:txbxContent>
                  <w:p w:rsidR="003A38E7" w:rsidRDefault="00203586">
                    <w:pPr>
                      <w:pStyle w:val="a5"/>
                      <w:jc w:val="center"/>
                    </w:pPr>
                    <w:r>
                      <w:rPr>
                        <w:rStyle w:val="a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a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Style w:val="a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a"/>
                        <w:sz w:val="32"/>
                        <w:szCs w:val="32"/>
                      </w:rPr>
                      <w:t>1</w:t>
                    </w:r>
                    <w:r>
                      <w:rPr>
                        <w:rStyle w:val="a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586" w:rsidRDefault="00203586">
      <w:r>
        <w:rPr>
          <w:color w:val="000000"/>
        </w:rPr>
        <w:separator/>
      </w:r>
    </w:p>
  </w:footnote>
  <w:footnote w:type="continuationSeparator" w:id="0">
    <w:p w:rsidR="00203586" w:rsidRDefault="0020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5033"/>
    <w:multiLevelType w:val="multilevel"/>
    <w:tmpl w:val="096855DC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94256"/>
    <w:multiLevelType w:val="multilevel"/>
    <w:tmpl w:val="1D98AF1E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3193AC8"/>
    <w:multiLevelType w:val="multilevel"/>
    <w:tmpl w:val="841A7AFC"/>
    <w:styleLink w:val="WW8Num12"/>
    <w:lvl w:ilvl="0">
      <w:start w:val="1"/>
      <w:numFmt w:val="japaneseCounting"/>
      <w:lvlText w:val="%1、"/>
      <w:lvlJc w:val="left"/>
      <w:pPr>
        <w:ind w:left="72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2F52785"/>
    <w:multiLevelType w:val="multilevel"/>
    <w:tmpl w:val="9C529966"/>
    <w:styleLink w:val="WW8Num1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396490A"/>
    <w:multiLevelType w:val="multilevel"/>
    <w:tmpl w:val="A59CCAE8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4CB04EA"/>
    <w:multiLevelType w:val="multilevel"/>
    <w:tmpl w:val="7B36420E"/>
    <w:styleLink w:val="WW8Num10"/>
    <w:lvl w:ilvl="0">
      <w:start w:val="1"/>
      <w:numFmt w:val="japaneseCounting"/>
      <w:lvlText w:val="（%1）"/>
      <w:lvlJc w:val="left"/>
      <w:pPr>
        <w:ind w:left="81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95499"/>
    <w:multiLevelType w:val="multilevel"/>
    <w:tmpl w:val="8640BEEE"/>
    <w:styleLink w:val="WW8Num9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9D3377"/>
    <w:multiLevelType w:val="multilevel"/>
    <w:tmpl w:val="22FEB994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50CE2231"/>
    <w:multiLevelType w:val="multilevel"/>
    <w:tmpl w:val="F9748EF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CC5827"/>
    <w:multiLevelType w:val="multilevel"/>
    <w:tmpl w:val="0E80C51E"/>
    <w:styleLink w:val="WW8Num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 w15:restartNumberingAfterBreak="0">
    <w:nsid w:val="7A415854"/>
    <w:multiLevelType w:val="multilevel"/>
    <w:tmpl w:val="B6A4638C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7D004BA8"/>
    <w:multiLevelType w:val="multilevel"/>
    <w:tmpl w:val="6B7CD3D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2601"/>
    <w:rsid w:val="00203586"/>
    <w:rsid w:val="00CA2601"/>
    <w:rsid w:val="00D6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E3A688-30C3-47AB-8A57-F364516C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">
    <w:name w:val="Text body indent"/>
    <w:basedOn w:val="Standard"/>
    <w:pPr>
      <w:ind w:left="616" w:hanging="616"/>
    </w:pPr>
    <w:rPr>
      <w:rFonts w:ascii="標楷體" w:eastAsia="標楷體" w:hAnsi="標楷體" w:cs="標楷體"/>
      <w:color w:val="000000"/>
      <w:spacing w:val="-12"/>
      <w:sz w:val="32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發文日期"/>
    <w:basedOn w:val="Standard"/>
    <w:pPr>
      <w:widowControl w:val="0"/>
    </w:pPr>
    <w:rPr>
      <w:rFonts w:eastAsia="標楷體"/>
      <w:w w:val="90"/>
      <w:szCs w:val="28"/>
    </w:rPr>
  </w:style>
  <w:style w:type="paragraph" w:customStyle="1" w:styleId="a7">
    <w:name w:val="發文字號"/>
    <w:basedOn w:val="a6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  <w:sz w:val="28"/>
      <w:szCs w:val="28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Times New Roman"/>
      <w:sz w:val="28"/>
      <w:szCs w:val="28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a">
    <w:name w:val="page number"/>
    <w:basedOn w:val="a0"/>
  </w:style>
  <w:style w:type="character" w:customStyle="1" w:styleId="ab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內政部補助社區治安守望相助隊作業要點</dc:title>
  <dc:subject/>
  <dc:creator>0124_徐新淵</dc:creator>
  <dc:description/>
  <cp:lastModifiedBy>林明慧</cp:lastModifiedBy>
  <cp:revision>2</cp:revision>
  <cp:lastPrinted>2018-04-11T08:54:00Z</cp:lastPrinted>
  <dcterms:created xsi:type="dcterms:W3CDTF">2023-10-13T01:27:00Z</dcterms:created>
  <dcterms:modified xsi:type="dcterms:W3CDTF">2023-10-13T01:27:00Z</dcterms:modified>
</cp:coreProperties>
</file>